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950" w:rsidRPr="00204DD8" w:rsidRDefault="000F4F0D" w:rsidP="006F4E89">
      <w:pPr>
        <w:spacing w:after="240" w:line="240" w:lineRule="auto"/>
        <w:rPr>
          <w:sz w:val="48"/>
          <w:szCs w:val="48"/>
        </w:rPr>
      </w:pPr>
      <w:r>
        <w:rPr>
          <w:sz w:val="48"/>
          <w:szCs w:val="48"/>
        </w:rPr>
        <w:t xml:space="preserve">Tourism Component- SPC-GIZ Coping With Climate Change in the Pacific Island Region </w:t>
      </w:r>
    </w:p>
    <w:tbl>
      <w:tblPr>
        <w:tblStyle w:val="TableGrid"/>
        <w:tblW w:w="9608" w:type="dxa"/>
        <w:jc w:val="center"/>
        <w:tblLook w:val="04A0" w:firstRow="1" w:lastRow="0" w:firstColumn="1" w:lastColumn="0" w:noHBand="0" w:noVBand="1"/>
      </w:tblPr>
      <w:tblGrid>
        <w:gridCol w:w="4621"/>
        <w:gridCol w:w="4987"/>
      </w:tblGrid>
      <w:tr w:rsidR="00204DD8" w:rsidTr="00E10F19">
        <w:trPr>
          <w:jc w:val="center"/>
        </w:trPr>
        <w:tc>
          <w:tcPr>
            <w:tcW w:w="4621" w:type="dxa"/>
          </w:tcPr>
          <w:p w:rsidR="00204DD8" w:rsidRPr="00204DD8" w:rsidRDefault="004F3AD0" w:rsidP="00204DD8">
            <w:pPr>
              <w:rPr>
                <w:b/>
              </w:rPr>
            </w:pPr>
            <w:r>
              <w:rPr>
                <w:b/>
              </w:rPr>
              <w:t>Funding Administrator</w:t>
            </w:r>
            <w:r w:rsidR="00204DD8" w:rsidRPr="00204DD8">
              <w:rPr>
                <w:b/>
              </w:rPr>
              <w:t>:</w:t>
            </w:r>
          </w:p>
          <w:p w:rsidR="00204DD8" w:rsidRDefault="000F4F0D" w:rsidP="004F3AD0">
            <w:r>
              <w:t>SPC-GIZ</w:t>
            </w:r>
          </w:p>
        </w:tc>
        <w:tc>
          <w:tcPr>
            <w:tcW w:w="4987" w:type="dxa"/>
          </w:tcPr>
          <w:p w:rsidR="00204DD8" w:rsidRPr="00204DD8" w:rsidRDefault="00204DD8" w:rsidP="00204DD8">
            <w:pPr>
              <w:rPr>
                <w:b/>
              </w:rPr>
            </w:pPr>
            <w:r w:rsidRPr="00204DD8">
              <w:rPr>
                <w:b/>
              </w:rPr>
              <w:t>Funding source:</w:t>
            </w:r>
          </w:p>
          <w:p w:rsidR="00204DD8" w:rsidRDefault="000F4F0D" w:rsidP="004F3AD0">
            <w:r>
              <w:t>German Government- BMZ</w:t>
            </w:r>
          </w:p>
        </w:tc>
      </w:tr>
      <w:tr w:rsidR="00204DD8" w:rsidTr="00E10F19">
        <w:trPr>
          <w:jc w:val="center"/>
        </w:trPr>
        <w:tc>
          <w:tcPr>
            <w:tcW w:w="4621" w:type="dxa"/>
          </w:tcPr>
          <w:p w:rsidR="00204DD8" w:rsidRPr="00E10F19" w:rsidRDefault="00204DD8" w:rsidP="00204DD8">
            <w:pPr>
              <w:rPr>
                <w:b/>
              </w:rPr>
            </w:pPr>
            <w:r w:rsidRPr="00E10F19">
              <w:rPr>
                <w:b/>
              </w:rPr>
              <w:t>Total funding:</w:t>
            </w:r>
          </w:p>
          <w:p w:rsidR="00204DD8" w:rsidRDefault="000F4F0D" w:rsidP="00F77B95">
            <w:r>
              <w:t>$150,000AUD</w:t>
            </w:r>
          </w:p>
        </w:tc>
        <w:tc>
          <w:tcPr>
            <w:tcW w:w="4987" w:type="dxa"/>
          </w:tcPr>
          <w:p w:rsidR="00204DD8" w:rsidRPr="00204DD8" w:rsidRDefault="00204DD8" w:rsidP="00204DD8">
            <w:pPr>
              <w:rPr>
                <w:b/>
              </w:rPr>
            </w:pPr>
            <w:r w:rsidRPr="00204DD8">
              <w:rPr>
                <w:b/>
              </w:rPr>
              <w:t>Duration:</w:t>
            </w:r>
          </w:p>
          <w:p w:rsidR="00204DD8" w:rsidRDefault="0092066B">
            <w:r>
              <w:t>April 2012 to January 2014</w:t>
            </w:r>
          </w:p>
        </w:tc>
      </w:tr>
      <w:tr w:rsidR="00F540E8" w:rsidTr="00E10F19">
        <w:trPr>
          <w:jc w:val="center"/>
        </w:trPr>
        <w:tc>
          <w:tcPr>
            <w:tcW w:w="4621" w:type="dxa"/>
          </w:tcPr>
          <w:p w:rsidR="00F540E8" w:rsidRDefault="00F540E8" w:rsidP="00204DD8">
            <w:pPr>
              <w:rPr>
                <w:b/>
              </w:rPr>
            </w:pPr>
            <w:r>
              <w:rPr>
                <w:b/>
              </w:rPr>
              <w:t>Status:</w:t>
            </w:r>
          </w:p>
          <w:p w:rsidR="00F540E8" w:rsidRPr="00F540E8" w:rsidRDefault="00F540E8" w:rsidP="00204DD8">
            <w:r w:rsidRPr="00F540E8">
              <w:t>Implementation phase</w:t>
            </w:r>
          </w:p>
        </w:tc>
        <w:tc>
          <w:tcPr>
            <w:tcW w:w="4987" w:type="dxa"/>
          </w:tcPr>
          <w:p w:rsidR="00F540E8" w:rsidRDefault="00F540E8" w:rsidP="00204DD8">
            <w:pPr>
              <w:rPr>
                <w:b/>
              </w:rPr>
            </w:pPr>
            <w:r>
              <w:rPr>
                <w:b/>
              </w:rPr>
              <w:t>Project type:</w:t>
            </w:r>
          </w:p>
          <w:p w:rsidR="000B6046" w:rsidRDefault="00F540E8" w:rsidP="00204DD8">
            <w:r>
              <w:t xml:space="preserve">Institutional </w:t>
            </w:r>
            <w:r w:rsidR="000B6046">
              <w:t>strengthening</w:t>
            </w:r>
            <w:r w:rsidR="00E10F19">
              <w:t xml:space="preserve">; </w:t>
            </w:r>
            <w:r w:rsidR="000B6046">
              <w:t>Mainstreaming</w:t>
            </w:r>
            <w:r w:rsidR="00E10F19">
              <w:t>;</w:t>
            </w:r>
          </w:p>
          <w:p w:rsidR="00E10F19" w:rsidRPr="004F3AD0" w:rsidRDefault="000F4F0D" w:rsidP="00E10F19">
            <w:r>
              <w:t xml:space="preserve">Pilot Testing of Adaptation </w:t>
            </w:r>
          </w:p>
        </w:tc>
      </w:tr>
      <w:tr w:rsidR="00F540E8" w:rsidTr="00E10F19">
        <w:trPr>
          <w:jc w:val="center"/>
        </w:trPr>
        <w:tc>
          <w:tcPr>
            <w:tcW w:w="4621" w:type="dxa"/>
          </w:tcPr>
          <w:p w:rsidR="00F540E8" w:rsidRDefault="00F540E8" w:rsidP="00204DD8">
            <w:pPr>
              <w:rPr>
                <w:b/>
              </w:rPr>
            </w:pPr>
            <w:r>
              <w:rPr>
                <w:b/>
              </w:rPr>
              <w:t>Sectors:</w:t>
            </w:r>
          </w:p>
          <w:p w:rsidR="000B6046" w:rsidRPr="00F540E8" w:rsidRDefault="000B6046" w:rsidP="000F4F0D">
            <w:r>
              <w:t>Climate Change Adaptation</w:t>
            </w:r>
            <w:r w:rsidR="00E10F19">
              <w:t xml:space="preserve">; </w:t>
            </w:r>
            <w:r>
              <w:t>Disaster Risk Reduction</w:t>
            </w:r>
            <w:r w:rsidR="00E10F19">
              <w:t xml:space="preserve">; </w:t>
            </w:r>
            <w:r w:rsidR="000F4F0D">
              <w:t>Tourism</w:t>
            </w:r>
          </w:p>
        </w:tc>
        <w:tc>
          <w:tcPr>
            <w:tcW w:w="4987" w:type="dxa"/>
          </w:tcPr>
          <w:p w:rsidR="00F540E8" w:rsidRDefault="00F540E8" w:rsidP="00204DD8">
            <w:pPr>
              <w:rPr>
                <w:b/>
              </w:rPr>
            </w:pPr>
            <w:r>
              <w:rPr>
                <w:b/>
              </w:rPr>
              <w:t>Scope:</w:t>
            </w:r>
          </w:p>
          <w:p w:rsidR="00F540E8" w:rsidRDefault="000F4F0D" w:rsidP="00204DD8">
            <w:r>
              <w:t>National, P</w:t>
            </w:r>
            <w:r w:rsidR="00F540E8">
              <w:t>rovincial</w:t>
            </w:r>
            <w:r>
              <w:t xml:space="preserve"> &amp; Community</w:t>
            </w:r>
          </w:p>
          <w:p w:rsidR="00F540E8" w:rsidRPr="00F540E8" w:rsidRDefault="00F540E8" w:rsidP="00204DD8"/>
        </w:tc>
      </w:tr>
      <w:tr w:rsidR="00204DD8" w:rsidTr="00E10F19">
        <w:trPr>
          <w:jc w:val="center"/>
        </w:trPr>
        <w:tc>
          <w:tcPr>
            <w:tcW w:w="4621" w:type="dxa"/>
          </w:tcPr>
          <w:p w:rsidR="00204DD8" w:rsidRPr="00204DD8" w:rsidRDefault="00204DD8" w:rsidP="00204DD8">
            <w:pPr>
              <w:rPr>
                <w:b/>
              </w:rPr>
            </w:pPr>
            <w:r w:rsidRPr="00204DD8">
              <w:rPr>
                <w:b/>
              </w:rPr>
              <w:t xml:space="preserve">Lead </w:t>
            </w:r>
            <w:proofErr w:type="spellStart"/>
            <w:r w:rsidRPr="00204DD8">
              <w:rPr>
                <w:b/>
              </w:rPr>
              <w:t>GoV</w:t>
            </w:r>
            <w:proofErr w:type="spellEnd"/>
            <w:r w:rsidRPr="00204DD8">
              <w:rPr>
                <w:b/>
              </w:rPr>
              <w:t xml:space="preserve"> Agency:</w:t>
            </w:r>
          </w:p>
          <w:p w:rsidR="00204DD8" w:rsidRDefault="000F4F0D">
            <w:r>
              <w:t xml:space="preserve">National Tourism Development Office </w:t>
            </w:r>
          </w:p>
        </w:tc>
        <w:tc>
          <w:tcPr>
            <w:tcW w:w="4987" w:type="dxa"/>
          </w:tcPr>
          <w:p w:rsidR="00204DD8" w:rsidRPr="00204DD8" w:rsidRDefault="00204DD8" w:rsidP="00204DD8">
            <w:pPr>
              <w:rPr>
                <w:b/>
              </w:rPr>
            </w:pPr>
            <w:r w:rsidRPr="00204DD8">
              <w:rPr>
                <w:b/>
              </w:rPr>
              <w:t xml:space="preserve">Other </w:t>
            </w:r>
            <w:proofErr w:type="spellStart"/>
            <w:r w:rsidRPr="00204DD8">
              <w:rPr>
                <w:b/>
              </w:rPr>
              <w:t>GoV</w:t>
            </w:r>
            <w:proofErr w:type="spellEnd"/>
            <w:r w:rsidRPr="00204DD8">
              <w:rPr>
                <w:b/>
              </w:rPr>
              <w:t xml:space="preserve"> Agencies:</w:t>
            </w:r>
          </w:p>
          <w:p w:rsidR="00204DD8" w:rsidRDefault="000F4F0D">
            <w:r>
              <w:t>Vanuatu Tourism Office, VMGD, NDMO</w:t>
            </w:r>
          </w:p>
        </w:tc>
      </w:tr>
      <w:tr w:rsidR="002E21F9" w:rsidTr="00E10F19">
        <w:trPr>
          <w:jc w:val="center"/>
        </w:trPr>
        <w:tc>
          <w:tcPr>
            <w:tcW w:w="4621" w:type="dxa"/>
          </w:tcPr>
          <w:p w:rsidR="002E21F9" w:rsidRPr="00CF4DA5" w:rsidRDefault="002E21F9" w:rsidP="00204DD8">
            <w:pPr>
              <w:rPr>
                <w:b/>
              </w:rPr>
            </w:pPr>
            <w:r w:rsidRPr="00CF4DA5">
              <w:rPr>
                <w:b/>
              </w:rPr>
              <w:t>Media Contact:</w:t>
            </w:r>
          </w:p>
          <w:p w:rsidR="002E21F9" w:rsidRPr="004F3AD0" w:rsidRDefault="000F4F0D" w:rsidP="00204DD8">
            <w:r>
              <w:t xml:space="preserve">Christopher Bartlett: </w:t>
            </w:r>
            <w:hyperlink r:id="rId8" w:history="1">
              <w:r w:rsidRPr="008B0C80">
                <w:rPr>
                  <w:rStyle w:val="Hyperlink"/>
                </w:rPr>
                <w:t>Christopher.Bartlett@giz.de</w:t>
              </w:r>
            </w:hyperlink>
            <w:r>
              <w:t>;</w:t>
            </w:r>
          </w:p>
        </w:tc>
        <w:tc>
          <w:tcPr>
            <w:tcW w:w="4987" w:type="dxa"/>
          </w:tcPr>
          <w:p w:rsidR="002E21F9" w:rsidRDefault="002E21F9" w:rsidP="002E21F9">
            <w:pPr>
              <w:rPr>
                <w:b/>
              </w:rPr>
            </w:pPr>
            <w:r w:rsidRPr="00CF4DA5">
              <w:rPr>
                <w:b/>
              </w:rPr>
              <w:t>Project Contact:</w:t>
            </w:r>
          </w:p>
          <w:p w:rsidR="00CF4DA5" w:rsidRDefault="000F4F0D" w:rsidP="000F4F0D">
            <w:pPr>
              <w:rPr>
                <w:rStyle w:val="rwrro"/>
              </w:rPr>
            </w:pPr>
            <w:r>
              <w:t xml:space="preserve">Christopher Bartlett: </w:t>
            </w:r>
            <w:hyperlink r:id="rId9" w:history="1">
              <w:r w:rsidRPr="008B0C80">
                <w:rPr>
                  <w:rStyle w:val="Hyperlink"/>
                </w:rPr>
                <w:t>Christopher.Bartlett@giz.de</w:t>
              </w:r>
            </w:hyperlink>
            <w:r>
              <w:t xml:space="preserve">; Fredrick Hosea: </w:t>
            </w:r>
            <w:hyperlink r:id="rId10" w:history="1">
              <w:r w:rsidRPr="008B0C80">
                <w:rPr>
                  <w:rStyle w:val="Hyperlink"/>
                </w:rPr>
                <w:t>fhosea@vanuatu.gov.vu</w:t>
              </w:r>
            </w:hyperlink>
            <w:r>
              <w:rPr>
                <w:rStyle w:val="rwrro"/>
              </w:rPr>
              <w:t xml:space="preserve">; </w:t>
            </w:r>
          </w:p>
          <w:p w:rsidR="000F4F0D" w:rsidRPr="00CF4DA5" w:rsidRDefault="000F4F0D" w:rsidP="000F4F0D">
            <w:r>
              <w:rPr>
                <w:rStyle w:val="rwrro"/>
              </w:rPr>
              <w:t>Min Jiang: Min.Jiang@vu.edu.au</w:t>
            </w:r>
            <w:r>
              <w:t> </w:t>
            </w:r>
          </w:p>
        </w:tc>
      </w:tr>
    </w:tbl>
    <w:p w:rsidR="00204DD8" w:rsidRDefault="00204DD8"/>
    <w:p w:rsidR="00204DD8" w:rsidRDefault="00204DD8">
      <w:pPr>
        <w:rPr>
          <w:b/>
        </w:rPr>
      </w:pPr>
      <w:r w:rsidRPr="00204DD8">
        <w:rPr>
          <w:b/>
        </w:rPr>
        <w:t>Objective:</w:t>
      </w:r>
    </w:p>
    <w:p w:rsidR="000F4F0D" w:rsidRPr="00413756" w:rsidRDefault="000F4F0D" w:rsidP="000F4F0D">
      <w:r>
        <w:rPr>
          <w:rFonts w:cs="Arial"/>
          <w:b/>
          <w:bCs/>
          <w:lang w:val="en-US"/>
        </w:rPr>
        <w:t xml:space="preserve">Component 4 </w:t>
      </w:r>
      <w:r>
        <w:rPr>
          <w:rFonts w:cs="Arial"/>
          <w:bCs/>
          <w:lang w:val="en-US"/>
        </w:rPr>
        <w:t xml:space="preserve">of the existing SPC-GIZ CCCPIR Regional </w:t>
      </w:r>
      <w:proofErr w:type="spellStart"/>
      <w:r>
        <w:rPr>
          <w:rFonts w:cs="Arial"/>
          <w:bCs/>
          <w:lang w:val="en-US"/>
        </w:rPr>
        <w:t>Programme</w:t>
      </w:r>
      <w:proofErr w:type="spellEnd"/>
      <w:r>
        <w:rPr>
          <w:rFonts w:cs="Arial"/>
          <w:bCs/>
          <w:lang w:val="en-US"/>
        </w:rPr>
        <w:t xml:space="preserve"> on “Sustainable Tourism and Climate Change</w:t>
      </w:r>
      <w:proofErr w:type="gramStart"/>
      <w:r>
        <w:rPr>
          <w:rFonts w:cs="Arial"/>
          <w:bCs/>
          <w:lang w:val="en-US"/>
        </w:rPr>
        <w:t xml:space="preserve">“  </w:t>
      </w:r>
      <w:r w:rsidRPr="00413756">
        <w:rPr>
          <w:rFonts w:cs="Calibri"/>
        </w:rPr>
        <w:t>aims</w:t>
      </w:r>
      <w:proofErr w:type="gramEnd"/>
      <w:r w:rsidRPr="00413756">
        <w:rPr>
          <w:rFonts w:cs="Calibri"/>
        </w:rPr>
        <w:t xml:space="preserve"> to strengthen the capacity of </w:t>
      </w:r>
      <w:r>
        <w:rPr>
          <w:rFonts w:cs="Calibri"/>
        </w:rPr>
        <w:t xml:space="preserve">selected </w:t>
      </w:r>
      <w:r w:rsidRPr="00413756">
        <w:rPr>
          <w:rFonts w:cs="Calibri"/>
        </w:rPr>
        <w:t xml:space="preserve">Pacific Island countries to cope with climate change impacts on the tourism sector.   </w:t>
      </w:r>
    </w:p>
    <w:p w:rsidR="000F4F0D" w:rsidRDefault="000F4F0D" w:rsidP="000F4F0D">
      <w:pPr>
        <w:autoSpaceDE w:val="0"/>
        <w:autoSpaceDN w:val="0"/>
        <w:adjustRightInd w:val="0"/>
        <w:spacing w:after="120"/>
        <w:rPr>
          <w:rFonts w:cs="Arial"/>
          <w:bCs/>
          <w:lang w:val="en-US"/>
        </w:rPr>
      </w:pPr>
      <w:r>
        <w:rPr>
          <w:rFonts w:cs="Arial"/>
          <w:bCs/>
        </w:rPr>
        <w:t xml:space="preserve">It has </w:t>
      </w:r>
      <w:r>
        <w:rPr>
          <w:rFonts w:cs="Arial"/>
          <w:bCs/>
          <w:lang w:val="en-US"/>
        </w:rPr>
        <w:t xml:space="preserve">the following objective: </w:t>
      </w:r>
    </w:p>
    <w:p w:rsidR="000F4F0D" w:rsidRDefault="000F4F0D" w:rsidP="000F4F0D">
      <w:pPr>
        <w:autoSpaceDE w:val="0"/>
        <w:autoSpaceDN w:val="0"/>
        <w:adjustRightInd w:val="0"/>
        <w:spacing w:after="120"/>
        <w:rPr>
          <w:rFonts w:cs="Arial"/>
          <w:b/>
          <w:i/>
          <w:lang w:val="en-US"/>
        </w:rPr>
      </w:pPr>
      <w:r w:rsidRPr="004E66EF">
        <w:rPr>
          <w:rFonts w:cs="Arial"/>
          <w:b/>
          <w:bCs/>
          <w:i/>
          <w:lang w:val="en-US"/>
        </w:rPr>
        <w:t xml:space="preserve">Innovative partnerships and approaches in the tourism sector are promoting adaptation to climate change and a reduction of greenhouse gas emissions in the Pacific Island Countries </w:t>
      </w:r>
      <w:r w:rsidRPr="004E66EF">
        <w:rPr>
          <w:rFonts w:cs="Arial"/>
          <w:b/>
          <w:i/>
          <w:lang w:val="en-US"/>
        </w:rPr>
        <w:t>Fiji, Samoa, Vanuatu and Palau.</w:t>
      </w:r>
      <w:r w:rsidRPr="004E66EF">
        <w:rPr>
          <w:rStyle w:val="FootnoteReference"/>
          <w:rFonts w:cs="Arial"/>
          <w:b/>
          <w:i/>
          <w:lang w:val="en-US"/>
        </w:rPr>
        <w:footnoteReference w:id="1"/>
      </w:r>
    </w:p>
    <w:p w:rsidR="00BE0675" w:rsidRDefault="00BE0675" w:rsidP="00BE0675">
      <w:pPr>
        <w:autoSpaceDE w:val="0"/>
        <w:autoSpaceDN w:val="0"/>
        <w:adjustRightInd w:val="0"/>
        <w:spacing w:after="120"/>
        <w:rPr>
          <w:rStyle w:val="PageNumber"/>
          <w:b/>
          <w:lang w:val="en-US"/>
        </w:rPr>
      </w:pPr>
      <w:r>
        <w:rPr>
          <w:rFonts w:cs="Arial"/>
          <w:lang w:val="en-US"/>
        </w:rPr>
        <w:t xml:space="preserve">All activities undertaken by this consultancy must lead towards achieving the following </w:t>
      </w:r>
      <w:r>
        <w:rPr>
          <w:rStyle w:val="PageNumber"/>
          <w:b/>
          <w:lang w:val="en-US"/>
        </w:rPr>
        <w:t>indicator:</w:t>
      </w:r>
    </w:p>
    <w:p w:rsidR="00BE0675" w:rsidRPr="004E66EF" w:rsidRDefault="00BE0675" w:rsidP="00BE0675">
      <w:pPr>
        <w:autoSpaceDE w:val="0"/>
        <w:autoSpaceDN w:val="0"/>
        <w:adjustRightInd w:val="0"/>
        <w:spacing w:after="120"/>
        <w:rPr>
          <w:rStyle w:val="PageNumber"/>
          <w:b/>
          <w:i/>
          <w:lang w:val="en-US"/>
        </w:rPr>
      </w:pPr>
      <w:r w:rsidRPr="004E66EF">
        <w:rPr>
          <w:rFonts w:cs="Arial"/>
          <w:b/>
          <w:i/>
          <w:lang w:val="en-US"/>
        </w:rPr>
        <w:t>Six tourism initiatives at community level are proven to be resilient against the effects of climate change and contribute to the protection of natural resources.</w:t>
      </w:r>
    </w:p>
    <w:p w:rsidR="00BE0675" w:rsidRPr="000F4F0D" w:rsidRDefault="00BE0675" w:rsidP="000F4F0D">
      <w:pPr>
        <w:autoSpaceDE w:val="0"/>
        <w:autoSpaceDN w:val="0"/>
        <w:adjustRightInd w:val="0"/>
        <w:spacing w:after="120"/>
        <w:rPr>
          <w:rFonts w:cs="Arial"/>
          <w:b/>
          <w:i/>
          <w:lang w:val="en-US"/>
        </w:rPr>
      </w:pPr>
    </w:p>
    <w:p w:rsidR="00204DD8" w:rsidRDefault="00204DD8" w:rsidP="000F4F0D">
      <w:pPr>
        <w:rPr>
          <w:b/>
        </w:rPr>
      </w:pPr>
      <w:r w:rsidRPr="00204DD8">
        <w:rPr>
          <w:b/>
        </w:rPr>
        <w:t>Description:</w:t>
      </w:r>
    </w:p>
    <w:p w:rsidR="00FF48A3" w:rsidRDefault="00FF48A3" w:rsidP="00FF48A3">
      <w:pPr>
        <w:widowControl w:val="0"/>
      </w:pPr>
      <w:r>
        <w:t xml:space="preserve">Tourism represents a significant economic activity in the Pacific. It is one of the largest export sectors in the majority of the nations of the Pacific and provides great opportunities for economic growth, employment, and sustainable development. Tourism is vulnerable to a range of risks including natural hazards, economic downturns, health epidemics, market fluctuations, etc. Due to </w:t>
      </w:r>
      <w:proofErr w:type="gramStart"/>
      <w:r>
        <w:t>its</w:t>
      </w:r>
      <w:proofErr w:type="gramEnd"/>
      <w:r>
        <w:t xml:space="preserve"> highly climate sensitive nature, Pacific tourism is identified as a hotspot for major impacts of climate change that will affect tourism destinations across the region and exacerbate natural hazards, markets, and other associated risks.</w:t>
      </w:r>
    </w:p>
    <w:p w:rsidR="00FF48A3" w:rsidRDefault="00FF48A3" w:rsidP="00FF48A3">
      <w:pPr>
        <w:widowControl w:val="0"/>
      </w:pPr>
      <w:r>
        <w:lastRenderedPageBreak/>
        <w:t>The Community Tourism and Climate Change component of SPC-GIZ CCCPIR project aims to strengthen the capacity of selected Pacific Island countries to cope with climate change impacts and associated risks on the community tourism sector. The main activities being undertaken include:</w:t>
      </w:r>
    </w:p>
    <w:p w:rsidR="00FF48A3" w:rsidRDefault="00FF48A3" w:rsidP="00FF48A3">
      <w:pPr>
        <w:widowControl w:val="0"/>
        <w:spacing w:after="0"/>
        <w:ind w:left="165" w:hanging="165"/>
      </w:pPr>
      <w:r>
        <w:rPr>
          <w:rFonts w:ascii="Symbol" w:hAnsi="Symbol"/>
        </w:rPr>
        <w:t></w:t>
      </w:r>
      <w:r>
        <w:t> National consultation workshop for integrated stakeholder engagement across the tourism, climate change, and natural disaster management areas;</w:t>
      </w:r>
    </w:p>
    <w:p w:rsidR="00FF48A3" w:rsidRDefault="00FF48A3" w:rsidP="00FF48A3">
      <w:pPr>
        <w:widowControl w:val="0"/>
        <w:spacing w:after="0"/>
        <w:ind w:left="165" w:hanging="165"/>
      </w:pPr>
      <w:r>
        <w:rPr>
          <w:rFonts w:ascii="Symbol" w:hAnsi="Symbol"/>
        </w:rPr>
        <w:t></w:t>
      </w:r>
      <w:r>
        <w:t> </w:t>
      </w:r>
      <w:proofErr w:type="gramStart"/>
      <w:r>
        <w:t>Mapping</w:t>
      </w:r>
      <w:proofErr w:type="gramEnd"/>
      <w:r>
        <w:t xml:space="preserve"> community tourism initiatives;</w:t>
      </w:r>
    </w:p>
    <w:p w:rsidR="00FF48A3" w:rsidRDefault="00FF48A3" w:rsidP="00FF48A3">
      <w:pPr>
        <w:widowControl w:val="0"/>
        <w:spacing w:after="0"/>
        <w:ind w:left="165" w:hanging="165"/>
      </w:pPr>
      <w:r>
        <w:rPr>
          <w:rFonts w:ascii="Symbol" w:hAnsi="Symbol"/>
        </w:rPr>
        <w:t></w:t>
      </w:r>
      <w:r>
        <w:t> Risk analysis and vulnerability assessment of selected community tourism initiatives;</w:t>
      </w:r>
    </w:p>
    <w:p w:rsidR="00FF48A3" w:rsidRDefault="00FF48A3" w:rsidP="00FF48A3">
      <w:pPr>
        <w:widowControl w:val="0"/>
        <w:spacing w:after="0"/>
        <w:ind w:left="165" w:hanging="165"/>
      </w:pPr>
      <w:r>
        <w:rPr>
          <w:rFonts w:ascii="Symbol" w:hAnsi="Symbol"/>
        </w:rPr>
        <w:t></w:t>
      </w:r>
      <w:r>
        <w:t> Implementation of adaptation interventions in the selected community tourism initiatives;</w:t>
      </w:r>
    </w:p>
    <w:p w:rsidR="00FF48A3" w:rsidRDefault="00FF48A3" w:rsidP="00FF48A3">
      <w:pPr>
        <w:widowControl w:val="0"/>
        <w:spacing w:after="0"/>
        <w:ind w:left="165" w:hanging="165"/>
      </w:pPr>
      <w:r>
        <w:rPr>
          <w:rFonts w:ascii="Symbol" w:hAnsi="Symbol"/>
        </w:rPr>
        <w:t></w:t>
      </w:r>
      <w:r>
        <w:t xml:space="preserve"> Production of an adaptation manual for community tourism in the Pacific; </w:t>
      </w:r>
    </w:p>
    <w:p w:rsidR="00FF48A3" w:rsidRDefault="00FF48A3" w:rsidP="00FF48A3">
      <w:pPr>
        <w:widowControl w:val="0"/>
        <w:spacing w:after="0"/>
        <w:ind w:left="165" w:hanging="165"/>
      </w:pPr>
      <w:r>
        <w:rPr>
          <w:rFonts w:ascii="Symbol" w:hAnsi="Symbol"/>
        </w:rPr>
        <w:t></w:t>
      </w:r>
      <w:r>
        <w:t> National best practice workshop</w:t>
      </w:r>
    </w:p>
    <w:p w:rsidR="000F4F0D" w:rsidRDefault="000F4F0D" w:rsidP="000F4F0D">
      <w:pPr>
        <w:widowControl w:val="0"/>
      </w:pPr>
      <w:r>
        <w:t> </w:t>
      </w:r>
    </w:p>
    <w:p w:rsidR="000F4F0D" w:rsidRDefault="00E66523" w:rsidP="000F4F0D">
      <w:pPr>
        <w:jc w:val="both"/>
        <w:rPr>
          <w:b/>
        </w:rPr>
      </w:pPr>
      <w:r>
        <w:rPr>
          <w:b/>
        </w:rPr>
        <w:t>Progress to date and current activities</w:t>
      </w:r>
      <w:r w:rsidRPr="00E66523">
        <w:rPr>
          <w:b/>
        </w:rPr>
        <w:t>:</w:t>
      </w:r>
    </w:p>
    <w:p w:rsidR="000F4F0D" w:rsidRPr="000F4F0D" w:rsidRDefault="000F4F0D" w:rsidP="000F4F0D">
      <w:pPr>
        <w:jc w:val="both"/>
      </w:pPr>
      <w:bookmarkStart w:id="0" w:name="_GoBack"/>
      <w:r w:rsidRPr="000F4F0D">
        <w:t>An Inception Workshop for the Climate Change and Tourism Component of SPC-GIZ CCCPIR was held at VMGD on 13.02.2013</w:t>
      </w:r>
      <w:r>
        <w:t xml:space="preserve">.  Participants were government, private sector and community tourism stakeholders. At the workshop, the following points were discussed: </w:t>
      </w:r>
    </w:p>
    <w:p w:rsidR="000F4F0D" w:rsidRDefault="000F4F0D" w:rsidP="000F4F0D">
      <w:pPr>
        <w:spacing w:after="0"/>
      </w:pPr>
    </w:p>
    <w:p w:rsidR="000F4F0D" w:rsidRPr="001D21FD" w:rsidRDefault="000F4F0D" w:rsidP="000F4F0D">
      <w:pPr>
        <w:pStyle w:val="ListParagraph"/>
        <w:numPr>
          <w:ilvl w:val="0"/>
          <w:numId w:val="4"/>
        </w:numPr>
        <w:spacing w:after="0"/>
        <w:rPr>
          <w:u w:val="single"/>
        </w:rPr>
      </w:pPr>
      <w:r w:rsidRPr="001D21FD">
        <w:rPr>
          <w:u w:val="single"/>
        </w:rPr>
        <w:t>Linkages between risks, natural hazards, climate change and the tourism sector.</w:t>
      </w:r>
    </w:p>
    <w:p w:rsidR="00BE0675" w:rsidRDefault="000F4F0D" w:rsidP="00BE0675">
      <w:pPr>
        <w:pStyle w:val="ListParagraph"/>
        <w:spacing w:after="0"/>
        <w:ind w:left="360"/>
      </w:pPr>
      <w:r>
        <w:t>When asked how the tourism sector works with risks, natural hazards and climate change sectors, representatives from the tourism industry and associations raised concerns about lack of emergency warning and response system for tourism (information access and emergency procedures etc.)</w:t>
      </w:r>
    </w:p>
    <w:p w:rsidR="000F4F0D" w:rsidRPr="001D21FD" w:rsidRDefault="000F4F0D" w:rsidP="00BE0675">
      <w:pPr>
        <w:pStyle w:val="ListParagraph"/>
        <w:spacing w:after="0"/>
        <w:ind w:left="0"/>
        <w:rPr>
          <w:u w:val="single"/>
        </w:rPr>
      </w:pPr>
      <w:r>
        <w:t xml:space="preserve"> </w:t>
      </w:r>
      <w:r w:rsidR="00BE0675">
        <w:t xml:space="preserve">2) </w:t>
      </w:r>
      <w:r w:rsidRPr="001D21FD">
        <w:rPr>
          <w:u w:val="single"/>
        </w:rPr>
        <w:t xml:space="preserve">Community tourism activities in Vanuatu. </w:t>
      </w:r>
    </w:p>
    <w:p w:rsidR="000F4F0D" w:rsidRPr="00142C7D" w:rsidRDefault="000F4F0D" w:rsidP="000F4F0D">
      <w:pPr>
        <w:pStyle w:val="ListParagraph"/>
        <w:spacing w:after="0"/>
        <w:ind w:left="360"/>
      </w:pPr>
      <w:r>
        <w:t xml:space="preserve">When it comes to select pilot sites for the project, it may have some flexibility to include different forms of tourism activities and businesses (which could cover those foreign owned) but provide benefits for local communities. </w:t>
      </w:r>
    </w:p>
    <w:p w:rsidR="000F4F0D" w:rsidRDefault="000F4F0D" w:rsidP="000F4F0D">
      <w:pPr>
        <w:pStyle w:val="ListParagraph"/>
        <w:numPr>
          <w:ilvl w:val="0"/>
          <w:numId w:val="4"/>
        </w:numPr>
        <w:spacing w:after="0"/>
      </w:pPr>
      <w:r w:rsidRPr="001D21FD">
        <w:rPr>
          <w:u w:val="single"/>
        </w:rPr>
        <w:t xml:space="preserve">Pilot sites. </w:t>
      </w:r>
    </w:p>
    <w:p w:rsidR="000F4F0D" w:rsidRPr="004C10DC" w:rsidRDefault="000F4F0D" w:rsidP="000F4F0D">
      <w:pPr>
        <w:pStyle w:val="ListParagraph"/>
        <w:spacing w:after="0"/>
        <w:ind w:left="360"/>
      </w:pPr>
      <w:proofErr w:type="spellStart"/>
      <w:r>
        <w:t>Havannah</w:t>
      </w:r>
      <w:proofErr w:type="spellEnd"/>
      <w:r>
        <w:t xml:space="preserve"> Harbor </w:t>
      </w:r>
      <w:r w:rsidR="00BE0675">
        <w:t xml:space="preserve">and </w:t>
      </w:r>
      <w:proofErr w:type="spellStart"/>
      <w:r w:rsidR="00BE0675">
        <w:t>Nguna</w:t>
      </w:r>
      <w:proofErr w:type="spellEnd"/>
      <w:r w:rsidR="00BE0675">
        <w:t xml:space="preserve">-Pele </w:t>
      </w:r>
      <w:r>
        <w:t xml:space="preserve">came up as a strongly agreed option </w:t>
      </w:r>
      <w:r w:rsidR="00BE0675">
        <w:t xml:space="preserve">for pilot sites </w:t>
      </w:r>
      <w:r>
        <w:t>due to the diversity of tourism businesses within the area (from local island bungalows to top-market resorts, both water based and land based tourism activities, a UNESCO listed site, and a turtle rehabilitation farm).</w:t>
      </w:r>
    </w:p>
    <w:p w:rsidR="000F4F0D" w:rsidRDefault="000F4F0D" w:rsidP="000F4F0D">
      <w:pPr>
        <w:pStyle w:val="ListParagraph"/>
        <w:numPr>
          <w:ilvl w:val="0"/>
          <w:numId w:val="4"/>
        </w:numPr>
        <w:spacing w:after="0"/>
        <w:rPr>
          <w:u w:val="single"/>
        </w:rPr>
      </w:pPr>
      <w:r>
        <w:rPr>
          <w:u w:val="single"/>
        </w:rPr>
        <w:t>Possible adaptation activities.</w:t>
      </w:r>
    </w:p>
    <w:p w:rsidR="000F4F0D" w:rsidRPr="00F324A9" w:rsidRDefault="000F4F0D" w:rsidP="000F4F0D">
      <w:pPr>
        <w:pStyle w:val="ListParagraph"/>
        <w:spacing w:after="0"/>
        <w:ind w:left="360"/>
      </w:pPr>
      <w:r>
        <w:t xml:space="preserve">Tourism stakeholders embraced the opportunity that the project offers to produce educational material (some form of handbooks, manuals, </w:t>
      </w:r>
      <w:proofErr w:type="spellStart"/>
      <w:r>
        <w:t>etc</w:t>
      </w:r>
      <w:proofErr w:type="spellEnd"/>
      <w:r>
        <w:t>) specifically for the tourism sector on climate change adaptation. The tourism stakeholders expressed strong interest to get involved in the project and work more closely with the climate change, natural disaster risk management sectors on adaptation, risk preparedness and reduction</w:t>
      </w:r>
      <w:r w:rsidR="00BE0675">
        <w:t xml:space="preserve"> in selected communities. </w:t>
      </w:r>
      <w:r>
        <w:t xml:space="preserve">. </w:t>
      </w:r>
    </w:p>
    <w:bookmarkEnd w:id="0"/>
    <w:p w:rsidR="000F4F0D" w:rsidRDefault="000F4F0D" w:rsidP="000F4F0D">
      <w:pPr>
        <w:spacing w:after="0"/>
        <w:rPr>
          <w:u w:val="single"/>
        </w:rPr>
      </w:pPr>
    </w:p>
    <w:p w:rsidR="000F4F0D" w:rsidRPr="00C117FD" w:rsidRDefault="000F4F0D" w:rsidP="000F4F0D">
      <w:pPr>
        <w:spacing w:after="0"/>
        <w:rPr>
          <w:b/>
        </w:rPr>
      </w:pPr>
      <w:r w:rsidRPr="00C117FD">
        <w:rPr>
          <w:b/>
          <w:u w:val="single"/>
        </w:rPr>
        <w:t>Next steps:</w:t>
      </w:r>
    </w:p>
    <w:p w:rsidR="000F4F0D" w:rsidRDefault="000F4F0D" w:rsidP="000F4F0D">
      <w:pPr>
        <w:spacing w:after="0"/>
      </w:pPr>
    </w:p>
    <w:p w:rsidR="000F4F0D" w:rsidRDefault="000F4F0D" w:rsidP="000F4F0D">
      <w:pPr>
        <w:pStyle w:val="ListParagraph"/>
        <w:numPr>
          <w:ilvl w:val="0"/>
          <w:numId w:val="5"/>
        </w:numPr>
        <w:spacing w:after="0"/>
      </w:pPr>
      <w:r>
        <w:t xml:space="preserve">Min </w:t>
      </w:r>
      <w:r w:rsidR="00BE0675">
        <w:t xml:space="preserve">Jiang </w:t>
      </w:r>
      <w:r>
        <w:t>to revise the tourism component work plan and circulate to stakeholders</w:t>
      </w:r>
    </w:p>
    <w:p w:rsidR="000F4F0D" w:rsidRDefault="000F4F0D" w:rsidP="000F4F0D">
      <w:pPr>
        <w:pStyle w:val="ListParagraph"/>
        <w:numPr>
          <w:ilvl w:val="0"/>
          <w:numId w:val="5"/>
        </w:numPr>
        <w:spacing w:after="0"/>
      </w:pPr>
      <w:r>
        <w:t>Fred</w:t>
      </w:r>
      <w:r w:rsidR="00BE0675">
        <w:t xml:space="preserve"> Hosea</w:t>
      </w:r>
      <w:r>
        <w:t xml:space="preserve"> and Chris</w:t>
      </w:r>
      <w:r w:rsidR="00BE0675">
        <w:t>topher Bartlett</w:t>
      </w:r>
      <w:r>
        <w:t xml:space="preserve"> to meet with representatives from the tourism associations and the tourism department for pilot sites selection</w:t>
      </w:r>
    </w:p>
    <w:p w:rsidR="000F4F0D" w:rsidRDefault="000F4F0D" w:rsidP="000F4F0D">
      <w:pPr>
        <w:pStyle w:val="ListParagraph"/>
        <w:numPr>
          <w:ilvl w:val="0"/>
          <w:numId w:val="5"/>
        </w:numPr>
        <w:spacing w:after="0"/>
      </w:pPr>
      <w:r>
        <w:t>Fred</w:t>
      </w:r>
      <w:r w:rsidR="00BE0675">
        <w:t xml:space="preserve"> Hosea</w:t>
      </w:r>
      <w:r>
        <w:t xml:space="preserve"> to prepare pilot sites profiles to serve as background information assisted by Chris</w:t>
      </w:r>
      <w:r w:rsidR="00BE0675">
        <w:t>topher</w:t>
      </w:r>
      <w:r>
        <w:t xml:space="preserve"> </w:t>
      </w:r>
      <w:r w:rsidR="00BE0675">
        <w:t xml:space="preserve">Bartlett </w:t>
      </w:r>
      <w:r>
        <w:t>and Min</w:t>
      </w:r>
      <w:r w:rsidR="00BE0675">
        <w:t xml:space="preserve"> Jiang</w:t>
      </w:r>
    </w:p>
    <w:p w:rsidR="00204DD8" w:rsidRDefault="000F4F0D" w:rsidP="00BE0675">
      <w:pPr>
        <w:pStyle w:val="ListParagraph"/>
        <w:numPr>
          <w:ilvl w:val="0"/>
          <w:numId w:val="5"/>
        </w:numPr>
        <w:spacing w:after="0"/>
      </w:pPr>
      <w:r>
        <w:lastRenderedPageBreak/>
        <w:t xml:space="preserve">Fred </w:t>
      </w:r>
      <w:r w:rsidR="00BE0675">
        <w:t xml:space="preserve">Hosea </w:t>
      </w:r>
      <w:r>
        <w:t>and Chris</w:t>
      </w:r>
      <w:r w:rsidR="00BE0675">
        <w:t>topher Bartlett</w:t>
      </w:r>
      <w:r>
        <w:t xml:space="preserve"> to present to the tourism associations’ board meetings about the project</w:t>
      </w:r>
      <w:r w:rsidR="00BE0675">
        <w:br/>
      </w:r>
    </w:p>
    <w:p w:rsidR="00BE0675" w:rsidRPr="00BE0675" w:rsidRDefault="00BE0675">
      <w:pPr>
        <w:rPr>
          <w:b/>
        </w:rPr>
      </w:pPr>
      <w:r w:rsidRPr="00BE0675">
        <w:rPr>
          <w:b/>
        </w:rPr>
        <w:t>Background</w:t>
      </w:r>
    </w:p>
    <w:p w:rsidR="00BE0675" w:rsidRPr="00413756" w:rsidRDefault="00BE0675" w:rsidP="00BE0675">
      <w:r w:rsidRPr="00413756">
        <w:t>This community tourism programme will build on and complement existing and proposed initiatives at the regional and national level.  At the regional level it supports the implementation of the Pacific Island Framework for Action on Climate Change (PIFACC) and, at the national level, of relevant adaptation (e.g. National Adaptation Programmes for Action), national sustainable development strategies, relevant sector policies and frameworks.  CCCPIR is committed to collaborating with and adding value to climate change programmes supported by other initiatives and development partners.</w:t>
      </w:r>
    </w:p>
    <w:p w:rsidR="00BE0675" w:rsidRPr="00413756" w:rsidRDefault="00BE0675" w:rsidP="00BE0675">
      <w:r w:rsidRPr="00413756">
        <w:t>One of the key programmes focusing on tourism and climate change in the region is the Pacific Tourism—Climat</w:t>
      </w:r>
      <w:r>
        <w:t xml:space="preserve">e Adaptation Project (PT-CAP), </w:t>
      </w:r>
      <w:r w:rsidRPr="00413756">
        <w:t xml:space="preserve">an </w:t>
      </w:r>
      <w:proofErr w:type="spellStart"/>
      <w:r w:rsidRPr="00413756">
        <w:t>AusAID</w:t>
      </w:r>
      <w:proofErr w:type="spellEnd"/>
      <w:r w:rsidRPr="00413756">
        <w:t xml:space="preserve"> funded research project that aims to develop climate change adaptation policies and strategies to assist the Pacific Island tourism sector protect and grow local livelihoods. The project was led by Victoria University Centre for Tourism and Services Research (CTSR) in collaboration with the University of New South Wales Natural Hazards Research Laboratory and the University of the South Pacific School of Tourism and Hospitality Management, together with industry/NGO partners, Foundation of the </w:t>
      </w:r>
      <w:proofErr w:type="spellStart"/>
      <w:r w:rsidRPr="00413756">
        <w:t>People’s</w:t>
      </w:r>
      <w:proofErr w:type="spellEnd"/>
      <w:r w:rsidRPr="00413756">
        <w:t xml:space="preserve"> of the South Pacific International (FSPI), South Pacific Tourism Organisation (SPTO) and Pacific Asia Tourism Pty Ltd (PAT). The project was a key activity of the Oceania Sustainable Tourism Alliance.  </w:t>
      </w:r>
      <w:r>
        <w:t xml:space="preserve">The PT-CAP project team has been hired by GIZ to undertake this work on community tourism in Vanuatu as part of a consultancy package. </w:t>
      </w:r>
    </w:p>
    <w:p w:rsidR="00BE0675" w:rsidRPr="00413756" w:rsidRDefault="00BE0675" w:rsidP="00BE0675">
      <w:r w:rsidRPr="00413756">
        <w:t>As GIZs technical assistance towards achieving sustainable development and monitoring is results-based, the activities defined by the main implementation partners on regional and national level can be adjusted to take advantage of collaborative opportunities, new developments and emerging needs.</w:t>
      </w:r>
    </w:p>
    <w:p w:rsidR="00BE0675" w:rsidRPr="00204DD8" w:rsidRDefault="00BE0675"/>
    <w:sectPr w:rsidR="00BE0675" w:rsidRPr="00204DD8" w:rsidSect="006F4E89">
      <w:headerReference w:type="default" r:id="rId11"/>
      <w:footerReference w:type="default" r:id="rId12"/>
      <w:pgSz w:w="11906" w:h="16838"/>
      <w:pgMar w:top="1418" w:right="1134" w:bottom="1134" w:left="1134" w:header="709" w:footer="27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C08" w:rsidRDefault="00014C08" w:rsidP="002E21F9">
      <w:pPr>
        <w:spacing w:after="0" w:line="240" w:lineRule="auto"/>
      </w:pPr>
      <w:r>
        <w:separator/>
      </w:r>
    </w:p>
  </w:endnote>
  <w:endnote w:type="continuationSeparator" w:id="0">
    <w:p w:rsidR="00014C08" w:rsidRDefault="00014C08" w:rsidP="002E2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5086698"/>
      <w:docPartObj>
        <w:docPartGallery w:val="Page Numbers (Bottom of Page)"/>
        <w:docPartUnique/>
      </w:docPartObj>
    </w:sdtPr>
    <w:sdtEndPr>
      <w:rPr>
        <w:noProof/>
      </w:rPr>
    </w:sdtEndPr>
    <w:sdtContent>
      <w:p w:rsidR="006F4E89" w:rsidRDefault="008E3244">
        <w:pPr>
          <w:pStyle w:val="Footer"/>
          <w:jc w:val="center"/>
        </w:pPr>
        <w:r>
          <w:fldChar w:fldCharType="begin"/>
        </w:r>
        <w:r w:rsidR="006F4E89">
          <w:instrText xml:space="preserve"> PAGE   \* MERGEFORMAT </w:instrText>
        </w:r>
        <w:r>
          <w:fldChar w:fldCharType="separate"/>
        </w:r>
        <w:r w:rsidR="00E92E05">
          <w:rPr>
            <w:noProof/>
          </w:rPr>
          <w:t>3</w:t>
        </w:r>
        <w:r>
          <w:rPr>
            <w:noProof/>
          </w:rPr>
          <w:fldChar w:fldCharType="end"/>
        </w:r>
      </w:p>
    </w:sdtContent>
  </w:sdt>
  <w:p w:rsidR="006F4E89" w:rsidRDefault="006F4E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C08" w:rsidRDefault="00014C08" w:rsidP="002E21F9">
      <w:pPr>
        <w:spacing w:after="0" w:line="240" w:lineRule="auto"/>
      </w:pPr>
      <w:r>
        <w:separator/>
      </w:r>
    </w:p>
  </w:footnote>
  <w:footnote w:type="continuationSeparator" w:id="0">
    <w:p w:rsidR="00014C08" w:rsidRDefault="00014C08" w:rsidP="002E21F9">
      <w:pPr>
        <w:spacing w:after="0" w:line="240" w:lineRule="auto"/>
      </w:pPr>
      <w:r>
        <w:continuationSeparator/>
      </w:r>
    </w:p>
  </w:footnote>
  <w:footnote w:id="1">
    <w:p w:rsidR="000F4F0D" w:rsidRDefault="000F4F0D" w:rsidP="000F4F0D">
      <w:pPr>
        <w:autoSpaceDE w:val="0"/>
        <w:autoSpaceDN w:val="0"/>
        <w:adjustRightInd w:val="0"/>
        <w:spacing w:after="120"/>
        <w:rPr>
          <w:rFonts w:cs="Arial"/>
          <w:lang w:val="en-US"/>
        </w:rPr>
      </w:pPr>
      <w:r>
        <w:rPr>
          <w:rStyle w:val="FootnoteReference"/>
        </w:rPr>
        <w:footnoteRef/>
      </w:r>
      <w:r w:rsidRPr="00413756">
        <w:t xml:space="preserve"> </w:t>
      </w:r>
      <w:r>
        <w:rPr>
          <w:rFonts w:cs="Arial"/>
          <w:lang w:val="en-US"/>
        </w:rPr>
        <w:t xml:space="preserve">For more details see the impact chain for the tourism component (Annex 1). </w:t>
      </w:r>
    </w:p>
    <w:p w:rsidR="000F4F0D" w:rsidRPr="00413756" w:rsidRDefault="000F4F0D" w:rsidP="000F4F0D">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1F9" w:rsidRPr="006F4E89" w:rsidRDefault="002E21F9" w:rsidP="006F4E89">
    <w:pPr>
      <w:pStyle w:val="Header"/>
      <w:tabs>
        <w:tab w:val="clear" w:pos="4513"/>
        <w:tab w:val="clear" w:pos="9026"/>
        <w:tab w:val="right" w:pos="9639"/>
      </w:tabs>
      <w:rPr>
        <w:i/>
        <w:sz w:val="18"/>
        <w:szCs w:val="18"/>
      </w:rPr>
    </w:pPr>
    <w:r w:rsidRPr="006F4E89">
      <w:rPr>
        <w:i/>
        <w:sz w:val="18"/>
        <w:szCs w:val="18"/>
      </w:rPr>
      <w:t>Project brief</w:t>
    </w:r>
    <w:r w:rsidRPr="006F4E89">
      <w:rPr>
        <w:i/>
        <w:sz w:val="18"/>
        <w:szCs w:val="18"/>
      </w:rPr>
      <w:tab/>
    </w:r>
    <w:r w:rsidR="006F4E89" w:rsidRPr="006F4E89">
      <w:rPr>
        <w:i/>
        <w:sz w:val="18"/>
        <w:szCs w:val="18"/>
      </w:rPr>
      <w:t>National Advisory Board on Climate Change and Disaster Risk Reduction</w:t>
    </w:r>
  </w:p>
  <w:p w:rsidR="002E21F9" w:rsidRDefault="002E21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43435"/>
    <w:multiLevelType w:val="hybridMultilevel"/>
    <w:tmpl w:val="59F2125C"/>
    <w:lvl w:ilvl="0" w:tplc="CB5AC286">
      <w:start w:val="1"/>
      <w:numFmt w:val="decimal"/>
      <w:lvlText w:val="%1)"/>
      <w:lvlJc w:val="left"/>
      <w:pPr>
        <w:ind w:left="360" w:hanging="360"/>
      </w:pPr>
      <w:rPr>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nsid w:val="535354B8"/>
    <w:multiLevelType w:val="hybridMultilevel"/>
    <w:tmpl w:val="A5042A1A"/>
    <w:lvl w:ilvl="0" w:tplc="0C090011">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6CA7038D"/>
    <w:multiLevelType w:val="hybridMultilevel"/>
    <w:tmpl w:val="F4783C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7FF3D92"/>
    <w:multiLevelType w:val="hybridMultilevel"/>
    <w:tmpl w:val="B3900BDC"/>
    <w:lvl w:ilvl="0" w:tplc="347CE0EE">
      <w:start w:val="1"/>
      <w:numFmt w:val="decimal"/>
      <w:lvlText w:val="%1."/>
      <w:lvlJc w:val="left"/>
      <w:pPr>
        <w:tabs>
          <w:tab w:val="num" w:pos="720"/>
        </w:tabs>
        <w:ind w:left="720" w:hanging="360"/>
      </w:pPr>
    </w:lvl>
    <w:lvl w:ilvl="1" w:tplc="C07A7D30" w:tentative="1">
      <w:start w:val="1"/>
      <w:numFmt w:val="decimal"/>
      <w:lvlText w:val="%2."/>
      <w:lvlJc w:val="left"/>
      <w:pPr>
        <w:tabs>
          <w:tab w:val="num" w:pos="1440"/>
        </w:tabs>
        <w:ind w:left="1440" w:hanging="360"/>
      </w:pPr>
    </w:lvl>
    <w:lvl w:ilvl="2" w:tplc="0888A28E" w:tentative="1">
      <w:start w:val="1"/>
      <w:numFmt w:val="decimal"/>
      <w:lvlText w:val="%3."/>
      <w:lvlJc w:val="left"/>
      <w:pPr>
        <w:tabs>
          <w:tab w:val="num" w:pos="2160"/>
        </w:tabs>
        <w:ind w:left="2160" w:hanging="360"/>
      </w:pPr>
    </w:lvl>
    <w:lvl w:ilvl="3" w:tplc="A3B4E04C" w:tentative="1">
      <w:start w:val="1"/>
      <w:numFmt w:val="decimal"/>
      <w:lvlText w:val="%4."/>
      <w:lvlJc w:val="left"/>
      <w:pPr>
        <w:tabs>
          <w:tab w:val="num" w:pos="2880"/>
        </w:tabs>
        <w:ind w:left="2880" w:hanging="360"/>
      </w:pPr>
    </w:lvl>
    <w:lvl w:ilvl="4" w:tplc="4B488EA6" w:tentative="1">
      <w:start w:val="1"/>
      <w:numFmt w:val="decimal"/>
      <w:lvlText w:val="%5."/>
      <w:lvlJc w:val="left"/>
      <w:pPr>
        <w:tabs>
          <w:tab w:val="num" w:pos="3600"/>
        </w:tabs>
        <w:ind w:left="3600" w:hanging="360"/>
      </w:pPr>
    </w:lvl>
    <w:lvl w:ilvl="5" w:tplc="D9448B88" w:tentative="1">
      <w:start w:val="1"/>
      <w:numFmt w:val="decimal"/>
      <w:lvlText w:val="%6."/>
      <w:lvlJc w:val="left"/>
      <w:pPr>
        <w:tabs>
          <w:tab w:val="num" w:pos="4320"/>
        </w:tabs>
        <w:ind w:left="4320" w:hanging="360"/>
      </w:pPr>
    </w:lvl>
    <w:lvl w:ilvl="6" w:tplc="52482918" w:tentative="1">
      <w:start w:val="1"/>
      <w:numFmt w:val="decimal"/>
      <w:lvlText w:val="%7."/>
      <w:lvlJc w:val="left"/>
      <w:pPr>
        <w:tabs>
          <w:tab w:val="num" w:pos="5040"/>
        </w:tabs>
        <w:ind w:left="5040" w:hanging="360"/>
      </w:pPr>
    </w:lvl>
    <w:lvl w:ilvl="7" w:tplc="0B38CC6C" w:tentative="1">
      <w:start w:val="1"/>
      <w:numFmt w:val="decimal"/>
      <w:lvlText w:val="%8."/>
      <w:lvlJc w:val="left"/>
      <w:pPr>
        <w:tabs>
          <w:tab w:val="num" w:pos="5760"/>
        </w:tabs>
        <w:ind w:left="5760" w:hanging="360"/>
      </w:pPr>
    </w:lvl>
    <w:lvl w:ilvl="8" w:tplc="081670C6" w:tentative="1">
      <w:start w:val="1"/>
      <w:numFmt w:val="decimal"/>
      <w:lvlText w:val="%9."/>
      <w:lvlJc w:val="left"/>
      <w:pPr>
        <w:tabs>
          <w:tab w:val="num" w:pos="6480"/>
        </w:tabs>
        <w:ind w:left="6480" w:hanging="360"/>
      </w:pPr>
    </w:lvl>
  </w:abstractNum>
  <w:abstractNum w:abstractNumId="4">
    <w:nsid w:val="7F7755E7"/>
    <w:multiLevelType w:val="hybridMultilevel"/>
    <w:tmpl w:val="13621AEE"/>
    <w:lvl w:ilvl="0" w:tplc="0C09000F">
      <w:start w:val="1"/>
      <w:numFmt w:val="decimal"/>
      <w:lvlText w:val="%1."/>
      <w:lvlJc w:val="left"/>
      <w:pPr>
        <w:ind w:left="720" w:hanging="360"/>
      </w:pPr>
      <w:rPr>
        <w:rFonts w:hint="default"/>
      </w:rPr>
    </w:lvl>
    <w:lvl w:ilvl="1" w:tplc="4580A8C0">
      <w:start w:val="1"/>
      <w:numFmt w:val="bullet"/>
      <w:lvlText w:val="o"/>
      <w:lvlJc w:val="left"/>
      <w:pPr>
        <w:ind w:left="1440" w:hanging="360"/>
      </w:pPr>
      <w:rPr>
        <w:rFonts w:ascii="Courier New" w:hAnsi="Courier New" w:cs="Courier New" w:hint="default"/>
      </w:rPr>
    </w:lvl>
    <w:lvl w:ilvl="2" w:tplc="4B044B96">
      <w:start w:val="1"/>
      <w:numFmt w:val="bullet"/>
      <w:lvlText w:val=""/>
      <w:lvlJc w:val="left"/>
      <w:pPr>
        <w:ind w:left="2160" w:hanging="360"/>
      </w:pPr>
      <w:rPr>
        <w:rFonts w:ascii="Wingdings" w:hAnsi="Wingdings" w:hint="default"/>
      </w:rPr>
    </w:lvl>
    <w:lvl w:ilvl="3" w:tplc="47B4365C">
      <w:start w:val="1"/>
      <w:numFmt w:val="bullet"/>
      <w:lvlText w:val=""/>
      <w:lvlJc w:val="left"/>
      <w:pPr>
        <w:ind w:left="2880" w:hanging="360"/>
      </w:pPr>
      <w:rPr>
        <w:rFonts w:ascii="Symbol" w:hAnsi="Symbol" w:hint="default"/>
      </w:rPr>
    </w:lvl>
    <w:lvl w:ilvl="4" w:tplc="B0008788">
      <w:start w:val="1"/>
      <w:numFmt w:val="bullet"/>
      <w:lvlText w:val="o"/>
      <w:lvlJc w:val="left"/>
      <w:pPr>
        <w:ind w:left="3600" w:hanging="360"/>
      </w:pPr>
      <w:rPr>
        <w:rFonts w:ascii="Courier New" w:hAnsi="Courier New" w:cs="Courier New" w:hint="default"/>
      </w:rPr>
    </w:lvl>
    <w:lvl w:ilvl="5" w:tplc="EAC88EB0">
      <w:start w:val="1"/>
      <w:numFmt w:val="bullet"/>
      <w:lvlText w:val=""/>
      <w:lvlJc w:val="left"/>
      <w:pPr>
        <w:ind w:left="4320" w:hanging="360"/>
      </w:pPr>
      <w:rPr>
        <w:rFonts w:ascii="Wingdings" w:hAnsi="Wingdings" w:hint="default"/>
      </w:rPr>
    </w:lvl>
    <w:lvl w:ilvl="6" w:tplc="578C0E80">
      <w:start w:val="1"/>
      <w:numFmt w:val="bullet"/>
      <w:lvlText w:val=""/>
      <w:lvlJc w:val="left"/>
      <w:pPr>
        <w:ind w:left="5040" w:hanging="360"/>
      </w:pPr>
      <w:rPr>
        <w:rFonts w:ascii="Symbol" w:hAnsi="Symbol" w:hint="default"/>
      </w:rPr>
    </w:lvl>
    <w:lvl w:ilvl="7" w:tplc="CB004B90">
      <w:start w:val="1"/>
      <w:numFmt w:val="bullet"/>
      <w:lvlText w:val="o"/>
      <w:lvlJc w:val="left"/>
      <w:pPr>
        <w:ind w:left="5760" w:hanging="360"/>
      </w:pPr>
      <w:rPr>
        <w:rFonts w:ascii="Courier New" w:hAnsi="Courier New" w:cs="Courier New" w:hint="default"/>
      </w:rPr>
    </w:lvl>
    <w:lvl w:ilvl="8" w:tplc="6578487C">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DD8"/>
    <w:rsid w:val="00014C08"/>
    <w:rsid w:val="0005355D"/>
    <w:rsid w:val="000B495C"/>
    <w:rsid w:val="000B6046"/>
    <w:rsid w:val="000F0F2D"/>
    <w:rsid w:val="000F4F0D"/>
    <w:rsid w:val="00102B6F"/>
    <w:rsid w:val="00134F61"/>
    <w:rsid w:val="001C32A7"/>
    <w:rsid w:val="00204DD8"/>
    <w:rsid w:val="002760C0"/>
    <w:rsid w:val="00277EAC"/>
    <w:rsid w:val="002B09C3"/>
    <w:rsid w:val="002E21F9"/>
    <w:rsid w:val="003D727F"/>
    <w:rsid w:val="004167D9"/>
    <w:rsid w:val="004F3AD0"/>
    <w:rsid w:val="004F44BD"/>
    <w:rsid w:val="005B7B90"/>
    <w:rsid w:val="006136AF"/>
    <w:rsid w:val="00647FB5"/>
    <w:rsid w:val="00686043"/>
    <w:rsid w:val="0069295B"/>
    <w:rsid w:val="006A60B0"/>
    <w:rsid w:val="006F4E89"/>
    <w:rsid w:val="0070162D"/>
    <w:rsid w:val="007B6E6F"/>
    <w:rsid w:val="007E2DA3"/>
    <w:rsid w:val="00874F56"/>
    <w:rsid w:val="008E3244"/>
    <w:rsid w:val="008E553D"/>
    <w:rsid w:val="0090733B"/>
    <w:rsid w:val="0092066B"/>
    <w:rsid w:val="00927038"/>
    <w:rsid w:val="00983A0B"/>
    <w:rsid w:val="00AE0E87"/>
    <w:rsid w:val="00B55DE9"/>
    <w:rsid w:val="00BE0675"/>
    <w:rsid w:val="00C22B2A"/>
    <w:rsid w:val="00C55950"/>
    <w:rsid w:val="00CD2E2C"/>
    <w:rsid w:val="00CF4DA5"/>
    <w:rsid w:val="00DE4DDC"/>
    <w:rsid w:val="00E10F19"/>
    <w:rsid w:val="00E12FF4"/>
    <w:rsid w:val="00E66523"/>
    <w:rsid w:val="00E80B12"/>
    <w:rsid w:val="00E91BB5"/>
    <w:rsid w:val="00E92E05"/>
    <w:rsid w:val="00F540E8"/>
    <w:rsid w:val="00F77B95"/>
    <w:rsid w:val="00FF4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4D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21F9"/>
    <w:pPr>
      <w:ind w:left="720"/>
      <w:contextualSpacing/>
    </w:pPr>
  </w:style>
  <w:style w:type="paragraph" w:styleId="Header">
    <w:name w:val="header"/>
    <w:basedOn w:val="Normal"/>
    <w:link w:val="HeaderChar"/>
    <w:uiPriority w:val="99"/>
    <w:unhideWhenUsed/>
    <w:rsid w:val="002E21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1F9"/>
  </w:style>
  <w:style w:type="paragraph" w:styleId="Footer">
    <w:name w:val="footer"/>
    <w:basedOn w:val="Normal"/>
    <w:link w:val="FooterChar"/>
    <w:uiPriority w:val="99"/>
    <w:unhideWhenUsed/>
    <w:rsid w:val="002E21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1F9"/>
  </w:style>
  <w:style w:type="paragraph" w:styleId="BalloonText">
    <w:name w:val="Balloon Text"/>
    <w:basedOn w:val="Normal"/>
    <w:link w:val="BalloonTextChar"/>
    <w:uiPriority w:val="99"/>
    <w:semiHidden/>
    <w:unhideWhenUsed/>
    <w:rsid w:val="002E21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1F9"/>
    <w:rPr>
      <w:rFonts w:ascii="Tahoma" w:hAnsi="Tahoma" w:cs="Tahoma"/>
      <w:sz w:val="16"/>
      <w:szCs w:val="16"/>
    </w:rPr>
  </w:style>
  <w:style w:type="paragraph" w:styleId="FootnoteText">
    <w:name w:val="footnote text"/>
    <w:basedOn w:val="Normal"/>
    <w:link w:val="FootnoteTextChar"/>
    <w:semiHidden/>
    <w:rsid w:val="000F4F0D"/>
    <w:pPr>
      <w:spacing w:after="0" w:line="240" w:lineRule="auto"/>
    </w:pPr>
    <w:rPr>
      <w:rFonts w:ascii="Arial" w:eastAsia="Calibri" w:hAnsi="Arial" w:cs="Times New Roman"/>
      <w:sz w:val="20"/>
      <w:szCs w:val="20"/>
      <w:lang w:val="de-DE"/>
    </w:rPr>
  </w:style>
  <w:style w:type="character" w:customStyle="1" w:styleId="FootnoteTextChar">
    <w:name w:val="Footnote Text Char"/>
    <w:basedOn w:val="DefaultParagraphFont"/>
    <w:link w:val="FootnoteText"/>
    <w:semiHidden/>
    <w:rsid w:val="000F4F0D"/>
    <w:rPr>
      <w:rFonts w:ascii="Arial" w:eastAsia="Calibri" w:hAnsi="Arial" w:cs="Times New Roman"/>
      <w:sz w:val="20"/>
      <w:szCs w:val="20"/>
      <w:lang w:val="de-DE"/>
    </w:rPr>
  </w:style>
  <w:style w:type="character" w:styleId="FootnoteReference">
    <w:name w:val="footnote reference"/>
    <w:basedOn w:val="DefaultParagraphFont"/>
    <w:semiHidden/>
    <w:rsid w:val="000F4F0D"/>
    <w:rPr>
      <w:vertAlign w:val="superscript"/>
    </w:rPr>
  </w:style>
  <w:style w:type="character" w:styleId="Hyperlink">
    <w:name w:val="Hyperlink"/>
    <w:basedOn w:val="DefaultParagraphFont"/>
    <w:uiPriority w:val="99"/>
    <w:unhideWhenUsed/>
    <w:rsid w:val="000F4F0D"/>
    <w:rPr>
      <w:color w:val="0000FF" w:themeColor="hyperlink"/>
      <w:u w:val="single"/>
    </w:rPr>
  </w:style>
  <w:style w:type="character" w:customStyle="1" w:styleId="rwrro">
    <w:name w:val="rwrro"/>
    <w:basedOn w:val="DefaultParagraphFont"/>
    <w:rsid w:val="000F4F0D"/>
  </w:style>
  <w:style w:type="character" w:styleId="PageNumber">
    <w:name w:val="page number"/>
    <w:basedOn w:val="DefaultParagraphFont"/>
    <w:semiHidden/>
    <w:rsid w:val="00BE06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4D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21F9"/>
    <w:pPr>
      <w:ind w:left="720"/>
      <w:contextualSpacing/>
    </w:pPr>
  </w:style>
  <w:style w:type="paragraph" w:styleId="Header">
    <w:name w:val="header"/>
    <w:basedOn w:val="Normal"/>
    <w:link w:val="HeaderChar"/>
    <w:uiPriority w:val="99"/>
    <w:unhideWhenUsed/>
    <w:rsid w:val="002E21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1F9"/>
  </w:style>
  <w:style w:type="paragraph" w:styleId="Footer">
    <w:name w:val="footer"/>
    <w:basedOn w:val="Normal"/>
    <w:link w:val="FooterChar"/>
    <w:uiPriority w:val="99"/>
    <w:unhideWhenUsed/>
    <w:rsid w:val="002E21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1F9"/>
  </w:style>
  <w:style w:type="paragraph" w:styleId="BalloonText">
    <w:name w:val="Balloon Text"/>
    <w:basedOn w:val="Normal"/>
    <w:link w:val="BalloonTextChar"/>
    <w:uiPriority w:val="99"/>
    <w:semiHidden/>
    <w:unhideWhenUsed/>
    <w:rsid w:val="002E21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1F9"/>
    <w:rPr>
      <w:rFonts w:ascii="Tahoma" w:hAnsi="Tahoma" w:cs="Tahoma"/>
      <w:sz w:val="16"/>
      <w:szCs w:val="16"/>
    </w:rPr>
  </w:style>
  <w:style w:type="paragraph" w:styleId="FootnoteText">
    <w:name w:val="footnote text"/>
    <w:basedOn w:val="Normal"/>
    <w:link w:val="FootnoteTextChar"/>
    <w:semiHidden/>
    <w:rsid w:val="000F4F0D"/>
    <w:pPr>
      <w:spacing w:after="0" w:line="240" w:lineRule="auto"/>
    </w:pPr>
    <w:rPr>
      <w:rFonts w:ascii="Arial" w:eastAsia="Calibri" w:hAnsi="Arial" w:cs="Times New Roman"/>
      <w:sz w:val="20"/>
      <w:szCs w:val="20"/>
      <w:lang w:val="de-DE"/>
    </w:rPr>
  </w:style>
  <w:style w:type="character" w:customStyle="1" w:styleId="FootnoteTextChar">
    <w:name w:val="Footnote Text Char"/>
    <w:basedOn w:val="DefaultParagraphFont"/>
    <w:link w:val="FootnoteText"/>
    <w:semiHidden/>
    <w:rsid w:val="000F4F0D"/>
    <w:rPr>
      <w:rFonts w:ascii="Arial" w:eastAsia="Calibri" w:hAnsi="Arial" w:cs="Times New Roman"/>
      <w:sz w:val="20"/>
      <w:szCs w:val="20"/>
      <w:lang w:val="de-DE"/>
    </w:rPr>
  </w:style>
  <w:style w:type="character" w:styleId="FootnoteReference">
    <w:name w:val="footnote reference"/>
    <w:basedOn w:val="DefaultParagraphFont"/>
    <w:semiHidden/>
    <w:rsid w:val="000F4F0D"/>
    <w:rPr>
      <w:vertAlign w:val="superscript"/>
    </w:rPr>
  </w:style>
  <w:style w:type="character" w:styleId="Hyperlink">
    <w:name w:val="Hyperlink"/>
    <w:basedOn w:val="DefaultParagraphFont"/>
    <w:uiPriority w:val="99"/>
    <w:unhideWhenUsed/>
    <w:rsid w:val="000F4F0D"/>
    <w:rPr>
      <w:color w:val="0000FF" w:themeColor="hyperlink"/>
      <w:u w:val="single"/>
    </w:rPr>
  </w:style>
  <w:style w:type="character" w:customStyle="1" w:styleId="rwrro">
    <w:name w:val="rwrro"/>
    <w:basedOn w:val="DefaultParagraphFont"/>
    <w:rsid w:val="000F4F0D"/>
  </w:style>
  <w:style w:type="character" w:styleId="PageNumber">
    <w:name w:val="page number"/>
    <w:basedOn w:val="DefaultParagraphFont"/>
    <w:semiHidden/>
    <w:rsid w:val="00BE0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050195">
      <w:bodyDiv w:val="1"/>
      <w:marLeft w:val="0"/>
      <w:marRight w:val="0"/>
      <w:marTop w:val="0"/>
      <w:marBottom w:val="0"/>
      <w:divBdr>
        <w:top w:val="none" w:sz="0" w:space="0" w:color="auto"/>
        <w:left w:val="none" w:sz="0" w:space="0" w:color="auto"/>
        <w:bottom w:val="none" w:sz="0" w:space="0" w:color="auto"/>
        <w:right w:val="none" w:sz="0" w:space="0" w:color="auto"/>
      </w:divBdr>
    </w:div>
    <w:div w:id="1488590363">
      <w:bodyDiv w:val="1"/>
      <w:marLeft w:val="0"/>
      <w:marRight w:val="0"/>
      <w:marTop w:val="0"/>
      <w:marBottom w:val="0"/>
      <w:divBdr>
        <w:top w:val="none" w:sz="0" w:space="0" w:color="auto"/>
        <w:left w:val="none" w:sz="0" w:space="0" w:color="auto"/>
        <w:bottom w:val="none" w:sz="0" w:space="0" w:color="auto"/>
        <w:right w:val="none" w:sz="0" w:space="0" w:color="auto"/>
      </w:divBdr>
      <w:divsChild>
        <w:div w:id="581065363">
          <w:marLeft w:val="979"/>
          <w:marRight w:val="0"/>
          <w:marTop w:val="80"/>
          <w:marBottom w:val="0"/>
          <w:divBdr>
            <w:top w:val="none" w:sz="0" w:space="0" w:color="auto"/>
            <w:left w:val="none" w:sz="0" w:space="0" w:color="auto"/>
            <w:bottom w:val="none" w:sz="0" w:space="0" w:color="auto"/>
            <w:right w:val="none" w:sz="0" w:space="0" w:color="auto"/>
          </w:divBdr>
        </w:div>
        <w:div w:id="732047679">
          <w:marLeft w:val="979"/>
          <w:marRight w:val="0"/>
          <w:marTop w:val="80"/>
          <w:marBottom w:val="0"/>
          <w:divBdr>
            <w:top w:val="none" w:sz="0" w:space="0" w:color="auto"/>
            <w:left w:val="none" w:sz="0" w:space="0" w:color="auto"/>
            <w:bottom w:val="none" w:sz="0" w:space="0" w:color="auto"/>
            <w:right w:val="none" w:sz="0" w:space="0" w:color="auto"/>
          </w:divBdr>
        </w:div>
        <w:div w:id="2098624708">
          <w:marLeft w:val="979"/>
          <w:marRight w:val="0"/>
          <w:marTop w:val="80"/>
          <w:marBottom w:val="0"/>
          <w:divBdr>
            <w:top w:val="none" w:sz="0" w:space="0" w:color="auto"/>
            <w:left w:val="none" w:sz="0" w:space="0" w:color="auto"/>
            <w:bottom w:val="none" w:sz="0" w:space="0" w:color="auto"/>
            <w:right w:val="none" w:sz="0" w:space="0" w:color="auto"/>
          </w:divBdr>
        </w:div>
        <w:div w:id="1591230286">
          <w:marLeft w:val="979"/>
          <w:marRight w:val="0"/>
          <w:marTop w:val="80"/>
          <w:marBottom w:val="0"/>
          <w:divBdr>
            <w:top w:val="none" w:sz="0" w:space="0" w:color="auto"/>
            <w:left w:val="none" w:sz="0" w:space="0" w:color="auto"/>
            <w:bottom w:val="none" w:sz="0" w:space="0" w:color="auto"/>
            <w:right w:val="none" w:sz="0" w:space="0" w:color="auto"/>
          </w:divBdr>
        </w:div>
        <w:div w:id="1812021867">
          <w:marLeft w:val="979"/>
          <w:marRight w:val="0"/>
          <w:marTop w:val="80"/>
          <w:marBottom w:val="0"/>
          <w:divBdr>
            <w:top w:val="none" w:sz="0" w:space="0" w:color="auto"/>
            <w:left w:val="none" w:sz="0" w:space="0" w:color="auto"/>
            <w:bottom w:val="none" w:sz="0" w:space="0" w:color="auto"/>
            <w:right w:val="none" w:sz="0" w:space="0" w:color="auto"/>
          </w:divBdr>
        </w:div>
        <w:div w:id="2000764953">
          <w:marLeft w:val="979"/>
          <w:marRight w:val="0"/>
          <w:marTop w:val="80"/>
          <w:marBottom w:val="0"/>
          <w:divBdr>
            <w:top w:val="none" w:sz="0" w:space="0" w:color="auto"/>
            <w:left w:val="none" w:sz="0" w:space="0" w:color="auto"/>
            <w:bottom w:val="none" w:sz="0" w:space="0" w:color="auto"/>
            <w:right w:val="none" w:sz="0" w:space="0" w:color="auto"/>
          </w:divBdr>
        </w:div>
        <w:div w:id="358437791">
          <w:marLeft w:val="979"/>
          <w:marRight w:val="0"/>
          <w:marTop w:val="80"/>
          <w:marBottom w:val="0"/>
          <w:divBdr>
            <w:top w:val="none" w:sz="0" w:space="0" w:color="auto"/>
            <w:left w:val="none" w:sz="0" w:space="0" w:color="auto"/>
            <w:bottom w:val="none" w:sz="0" w:space="0" w:color="auto"/>
            <w:right w:val="none" w:sz="0" w:space="0" w:color="auto"/>
          </w:divBdr>
        </w:div>
        <w:div w:id="301663918">
          <w:marLeft w:val="979"/>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opher.Bartlett@giz.d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fhosea@vanuatu.gov.vu" TargetMode="External"/><Relationship Id="rId4" Type="http://schemas.openxmlformats.org/officeDocument/2006/relationships/settings" Target="settings.xml"/><Relationship Id="rId9" Type="http://schemas.openxmlformats.org/officeDocument/2006/relationships/hyperlink" Target="mailto:Christopher.Bartlett@giz.d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1072</Words>
  <Characters>6114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Duffy</dc:creator>
  <cp:lastModifiedBy>soeadmin</cp:lastModifiedBy>
  <cp:revision>2</cp:revision>
  <dcterms:created xsi:type="dcterms:W3CDTF">2015-02-10T21:24:00Z</dcterms:created>
  <dcterms:modified xsi:type="dcterms:W3CDTF">2015-02-10T21:24:00Z</dcterms:modified>
</cp:coreProperties>
</file>